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4438" w:rsidRDefault="000A162D" w:rsidP="0065443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noProof/>
          <w:spacing w:val="-3"/>
          <w:sz w:val="22"/>
          <w:szCs w:val="22"/>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-1522095</wp:posOffset>
                </wp:positionV>
                <wp:extent cx="342900" cy="59626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143" w:rsidRDefault="00CD7143" w:rsidP="00654438">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in;margin-top:-119.85pt;width:2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QngQ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" stroked="f">
                <v:textbox>
                  <w:txbxContent>
                    <w:p w:rsidR="00CD7143" w:rsidRDefault="00CD7143" w:rsidP="00654438">
                      <w:pPr>
                        <w:jc w:val="right"/>
                        <w:rPr>
                          <w:b/>
                        </w:rPr>
                      </w:pPr>
                    </w:p>
                  </w:txbxContent>
                </v:textbox>
              </v:shape>
            </w:pict>
          </mc:Fallback>
        </mc:AlternateContent>
      </w:r>
      <w:r w:rsidR="00654438">
        <w:rPr>
          <w:rFonts w:ascii="Arial" w:hAnsi="Arial" w:cs="Arial"/>
          <w:bCs/>
          <w:spacing w:val="-3"/>
          <w:sz w:val="22"/>
          <w:szCs w:val="22"/>
        </w:rPr>
        <w:t xml:space="preserve">The Review of Neighbourly Relations (the Review) was established to gather information about the more common causes of disputes between neighbours and develop practical remedies to avoid, reduce and resolve them. </w:t>
      </w:r>
    </w:p>
    <w:p w:rsidR="00654438" w:rsidRDefault="00654438" w:rsidP="0065443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Review focused on dividing fences (Stage 1) and dangerous and intrusive trees and remedies available for resolution of disputes (Stage 2). </w:t>
      </w:r>
    </w:p>
    <w:p w:rsidR="00654438" w:rsidRDefault="00654438" w:rsidP="0065443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Review involved the distribution of </w:t>
      </w:r>
      <w:r w:rsidR="00395AC8">
        <w:rPr>
          <w:rFonts w:ascii="Arial" w:hAnsi="Arial" w:cs="Arial"/>
          <w:bCs/>
          <w:spacing w:val="-3"/>
          <w:sz w:val="22"/>
          <w:szCs w:val="22"/>
        </w:rPr>
        <w:t>discussion papers</w:t>
      </w:r>
      <w:r>
        <w:rPr>
          <w:rFonts w:ascii="Arial" w:hAnsi="Arial" w:cs="Arial"/>
          <w:bCs/>
          <w:spacing w:val="-3"/>
          <w:sz w:val="22"/>
          <w:szCs w:val="22"/>
        </w:rPr>
        <w:t xml:space="preserve">, an e-survey on the Government’s </w:t>
      </w:r>
      <w:r>
        <w:rPr>
          <w:rFonts w:ascii="Arial" w:hAnsi="Arial" w:cs="Arial"/>
          <w:bCs/>
          <w:i/>
          <w:spacing w:val="-3"/>
          <w:sz w:val="22"/>
          <w:szCs w:val="22"/>
        </w:rPr>
        <w:t xml:space="preserve">Get Involved </w:t>
      </w:r>
      <w:r>
        <w:rPr>
          <w:rFonts w:ascii="Arial" w:hAnsi="Arial" w:cs="Arial"/>
          <w:bCs/>
          <w:spacing w:val="-3"/>
          <w:sz w:val="22"/>
          <w:szCs w:val="22"/>
        </w:rPr>
        <w:t xml:space="preserve">website and a number of public forums where members of the community were invited to express their views. </w:t>
      </w:r>
    </w:p>
    <w:p w:rsidR="00654438" w:rsidRPr="00DA30EB" w:rsidRDefault="00654438" w:rsidP="00654438">
      <w:pPr>
        <w:numPr>
          <w:ilvl w:val="0"/>
          <w:numId w:val="1"/>
        </w:numPr>
        <w:tabs>
          <w:tab w:val="clear" w:pos="720"/>
          <w:tab w:val="num" w:pos="360"/>
        </w:tabs>
        <w:spacing w:before="240"/>
        <w:ind w:left="360"/>
        <w:jc w:val="both"/>
        <w:rPr>
          <w:rFonts w:ascii="Arial" w:hAnsi="Arial"/>
          <w:sz w:val="22"/>
          <w:szCs w:val="24"/>
        </w:rPr>
      </w:pPr>
      <w:r w:rsidRPr="00DA30EB">
        <w:rPr>
          <w:rFonts w:ascii="Arial" w:hAnsi="Arial" w:cs="Arial"/>
          <w:sz w:val="22"/>
          <w:szCs w:val="22"/>
          <w:u w:val="single"/>
        </w:rPr>
        <w:t>Cabinet approved</w:t>
      </w:r>
      <w:r w:rsidRPr="007E4F3E">
        <w:rPr>
          <w:rFonts w:ascii="Arial" w:hAnsi="Arial" w:cs="Arial"/>
          <w:sz w:val="22"/>
          <w:szCs w:val="22"/>
        </w:rPr>
        <w:t xml:space="preserve"> </w:t>
      </w:r>
      <w:r w:rsidRPr="00DA30EB">
        <w:rPr>
          <w:rFonts w:ascii="Arial" w:hAnsi="Arial"/>
          <w:sz w:val="22"/>
          <w:szCs w:val="24"/>
        </w:rPr>
        <w:t xml:space="preserve">the development of a webpage </w:t>
      </w:r>
      <w:r w:rsidRPr="00DA30EB">
        <w:rPr>
          <w:rFonts w:ascii="Arial" w:hAnsi="Arial"/>
          <w:sz w:val="22"/>
        </w:rPr>
        <w:t>providing information regarding the resolution of common disputes between neighbours</w:t>
      </w:r>
      <w:r>
        <w:rPr>
          <w:rFonts w:ascii="Arial" w:hAnsi="Arial"/>
          <w:sz w:val="22"/>
        </w:rPr>
        <w:t xml:space="preserve">. </w:t>
      </w:r>
    </w:p>
    <w:p w:rsidR="00654438" w:rsidRPr="00DA30EB" w:rsidRDefault="00654438" w:rsidP="00654438">
      <w:pPr>
        <w:numPr>
          <w:ilvl w:val="0"/>
          <w:numId w:val="1"/>
        </w:numPr>
        <w:tabs>
          <w:tab w:val="clear" w:pos="720"/>
          <w:tab w:val="num" w:pos="360"/>
        </w:tabs>
        <w:spacing w:before="240"/>
        <w:ind w:left="360"/>
        <w:jc w:val="both"/>
        <w:rPr>
          <w:u w:val="single"/>
        </w:rPr>
      </w:pPr>
      <w:r w:rsidRPr="00DA30EB">
        <w:rPr>
          <w:rFonts w:ascii="Arial" w:hAnsi="Arial"/>
          <w:sz w:val="22"/>
          <w:u w:val="single"/>
        </w:rPr>
        <w:t>Cabinet approved</w:t>
      </w:r>
      <w:r w:rsidRPr="007E4F3E">
        <w:rPr>
          <w:rFonts w:ascii="Arial" w:hAnsi="Arial"/>
          <w:sz w:val="22"/>
        </w:rPr>
        <w:t xml:space="preserve"> the </w:t>
      </w:r>
      <w:r w:rsidRPr="007E4F3E">
        <w:rPr>
          <w:rFonts w:ascii="Arial" w:hAnsi="Arial"/>
          <w:i/>
          <w:sz w:val="22"/>
        </w:rPr>
        <w:t>Dividing Fences Act 1953</w:t>
      </w:r>
      <w:r w:rsidRPr="007E4F3E">
        <w:rPr>
          <w:rFonts w:ascii="Arial" w:hAnsi="Arial"/>
          <w:sz w:val="22"/>
        </w:rPr>
        <w:t xml:space="preserve"> be repealed and replaced with more modern legislation</w:t>
      </w:r>
      <w:r w:rsidRPr="007E4F3E">
        <w:t>.</w:t>
      </w:r>
      <w:r w:rsidRPr="00DA30EB">
        <w:rPr>
          <w:u w:val="single"/>
        </w:rPr>
        <w:t xml:space="preserve"> </w:t>
      </w:r>
    </w:p>
    <w:p w:rsidR="00654438" w:rsidRPr="00DA30EB" w:rsidRDefault="00654438" w:rsidP="00654438">
      <w:pPr>
        <w:numPr>
          <w:ilvl w:val="0"/>
          <w:numId w:val="1"/>
        </w:numPr>
        <w:tabs>
          <w:tab w:val="clear" w:pos="720"/>
          <w:tab w:val="num" w:pos="360"/>
        </w:tabs>
        <w:spacing w:before="240"/>
        <w:ind w:left="360"/>
        <w:jc w:val="both"/>
        <w:rPr>
          <w:rFonts w:ascii="Arial" w:hAnsi="Arial"/>
          <w:sz w:val="22"/>
          <w:u w:val="single"/>
        </w:rPr>
      </w:pPr>
      <w:r w:rsidRPr="00DA30EB">
        <w:rPr>
          <w:rFonts w:ascii="Arial" w:hAnsi="Arial"/>
          <w:sz w:val="22"/>
          <w:u w:val="single"/>
        </w:rPr>
        <w:t>Cabinet approved</w:t>
      </w:r>
      <w:r w:rsidRPr="007E4F3E">
        <w:rPr>
          <w:rFonts w:ascii="Arial" w:hAnsi="Arial"/>
          <w:sz w:val="22"/>
        </w:rPr>
        <w:t xml:space="preserve"> the development of state-based tree legislation providing community members with an accessible and timely right of recourse to resolve tree disputes.</w:t>
      </w:r>
      <w:r w:rsidRPr="00DA30EB">
        <w:rPr>
          <w:rFonts w:ascii="Arial" w:hAnsi="Arial"/>
          <w:sz w:val="22"/>
          <w:u w:val="single"/>
        </w:rPr>
        <w:t xml:space="preserve">  </w:t>
      </w:r>
    </w:p>
    <w:p w:rsidR="00654438" w:rsidRPr="00DA30EB" w:rsidRDefault="00654438" w:rsidP="00654438">
      <w:pPr>
        <w:numPr>
          <w:ilvl w:val="0"/>
          <w:numId w:val="1"/>
        </w:numPr>
        <w:tabs>
          <w:tab w:val="clear" w:pos="720"/>
          <w:tab w:val="num" w:pos="360"/>
        </w:tabs>
        <w:spacing w:before="240"/>
        <w:ind w:left="360"/>
        <w:jc w:val="both"/>
        <w:rPr>
          <w:rFonts w:ascii="Arial" w:hAnsi="Arial"/>
          <w:sz w:val="22"/>
        </w:rPr>
      </w:pPr>
      <w:r w:rsidRPr="00DA30EB">
        <w:rPr>
          <w:rFonts w:ascii="Arial" w:hAnsi="Arial"/>
          <w:sz w:val="22"/>
          <w:u w:val="single"/>
        </w:rPr>
        <w:t>Cabinet noted</w:t>
      </w:r>
      <w:r>
        <w:rPr>
          <w:rFonts w:ascii="Arial" w:hAnsi="Arial"/>
          <w:sz w:val="22"/>
        </w:rPr>
        <w:t xml:space="preserve"> that i</w:t>
      </w:r>
      <w:r w:rsidRPr="00DA30EB">
        <w:rPr>
          <w:rFonts w:ascii="Arial" w:hAnsi="Arial"/>
          <w:sz w:val="22"/>
        </w:rPr>
        <w:t xml:space="preserve">t is not intended that this legislation will override local laws in respect of trees. </w:t>
      </w:r>
    </w:p>
    <w:p w:rsidR="00654438" w:rsidRPr="00DA30EB" w:rsidRDefault="00654438" w:rsidP="00654438">
      <w:pPr>
        <w:pStyle w:val="Cabinet2text"/>
        <w:numPr>
          <w:ilvl w:val="0"/>
          <w:numId w:val="0"/>
        </w:numPr>
        <w:ind w:left="567"/>
        <w:rPr>
          <w:rFonts w:ascii="Arial" w:hAnsi="Arial"/>
          <w:sz w:val="22"/>
        </w:rPr>
      </w:pPr>
    </w:p>
    <w:p w:rsidR="00725740" w:rsidRPr="00912685" w:rsidRDefault="00654438" w:rsidP="00912685">
      <w:pPr>
        <w:keepNext/>
        <w:numPr>
          <w:ilvl w:val="0"/>
          <w:numId w:val="1"/>
        </w:numPr>
        <w:tabs>
          <w:tab w:val="clear" w:pos="720"/>
          <w:tab w:val="num" w:pos="360"/>
        </w:tabs>
        <w:ind w:left="357" w:hanging="357"/>
        <w:jc w:val="both"/>
        <w:rPr>
          <w:rFonts w:ascii="Arial" w:hAnsi="Arial" w:cs="Arial"/>
          <w:sz w:val="22"/>
          <w:szCs w:val="22"/>
        </w:rPr>
      </w:pPr>
      <w:r w:rsidRPr="009851D4">
        <w:rPr>
          <w:rFonts w:ascii="Arial" w:hAnsi="Arial" w:cs="Arial"/>
          <w:i/>
          <w:sz w:val="22"/>
          <w:szCs w:val="22"/>
          <w:u w:val="single"/>
        </w:rPr>
        <w:t>Attachments</w:t>
      </w:r>
      <w:r w:rsidR="009851D4">
        <w:rPr>
          <w:rFonts w:ascii="Arial" w:hAnsi="Arial" w:cs="Arial"/>
          <w:sz w:val="22"/>
          <w:szCs w:val="22"/>
          <w:u w:val="single"/>
        </w:rPr>
        <w:t>:</w:t>
      </w:r>
      <w:r w:rsidR="009851D4" w:rsidRPr="009851D4">
        <w:rPr>
          <w:rFonts w:ascii="Arial" w:hAnsi="Arial" w:cs="Arial"/>
          <w:sz w:val="22"/>
          <w:szCs w:val="22"/>
        </w:rPr>
        <w:t xml:space="preserve"> </w:t>
      </w:r>
      <w:r w:rsidR="00912685">
        <w:rPr>
          <w:rFonts w:ascii="Arial" w:hAnsi="Arial" w:cs="Arial"/>
          <w:sz w:val="22"/>
          <w:szCs w:val="22"/>
        </w:rPr>
        <w:t>Nil.</w:t>
      </w:r>
    </w:p>
    <w:sectPr w:rsidR="00725740" w:rsidRPr="00912685" w:rsidSect="00654438">
      <w:headerReference w:type="default" r:id="rId7"/>
      <w:footerReference w:type="default" r:id="rId8"/>
      <w:headerReference w:type="first" r:id="rId9"/>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1F" w:rsidRDefault="006F051F">
      <w:r>
        <w:separator/>
      </w:r>
    </w:p>
  </w:endnote>
  <w:endnote w:type="continuationSeparator" w:id="0">
    <w:p w:rsidR="006F051F" w:rsidRDefault="006F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43" w:rsidRPr="001141E1" w:rsidRDefault="00CD7143" w:rsidP="00654438">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1F" w:rsidRDefault="006F051F">
      <w:r>
        <w:separator/>
      </w:r>
    </w:p>
  </w:footnote>
  <w:footnote w:type="continuationSeparator" w:id="0">
    <w:p w:rsidR="006F051F" w:rsidRDefault="006F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43" w:rsidRPr="000400F9" w:rsidRDefault="000A162D" w:rsidP="00654438">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D7143" w:rsidRPr="000400F9">
      <w:rPr>
        <w:rFonts w:ascii="Arial" w:hAnsi="Arial" w:cs="Arial"/>
        <w:b/>
        <w:sz w:val="22"/>
        <w:szCs w:val="22"/>
        <w:u w:val="single"/>
      </w:rPr>
      <w:t xml:space="preserve">Cabinet – </w:t>
    </w:r>
    <w:r w:rsidR="00CD7143">
      <w:rPr>
        <w:rFonts w:ascii="Arial" w:hAnsi="Arial" w:cs="Arial"/>
        <w:b/>
        <w:sz w:val="22"/>
        <w:szCs w:val="22"/>
        <w:u w:val="single"/>
      </w:rPr>
      <w:t>month year</w:t>
    </w:r>
  </w:p>
  <w:p w:rsidR="00CD7143" w:rsidRDefault="00CD7143" w:rsidP="00654438">
    <w:pPr>
      <w:pStyle w:val="Header"/>
      <w:spacing w:before="120"/>
      <w:rPr>
        <w:rFonts w:ascii="Arial" w:hAnsi="Arial" w:cs="Arial"/>
        <w:b/>
        <w:sz w:val="22"/>
        <w:szCs w:val="22"/>
        <w:u w:val="single"/>
      </w:rPr>
    </w:pPr>
    <w:r>
      <w:rPr>
        <w:rFonts w:ascii="Arial" w:hAnsi="Arial" w:cs="Arial"/>
        <w:b/>
        <w:sz w:val="22"/>
        <w:szCs w:val="22"/>
        <w:u w:val="single"/>
      </w:rPr>
      <w:t>submission subject</w:t>
    </w:r>
  </w:p>
  <w:p w:rsidR="00CD7143" w:rsidRDefault="00CD7143" w:rsidP="00654438">
    <w:pPr>
      <w:pStyle w:val="Header"/>
      <w:spacing w:before="120"/>
      <w:rPr>
        <w:rFonts w:ascii="Arial" w:hAnsi="Arial" w:cs="Arial"/>
        <w:b/>
        <w:sz w:val="22"/>
        <w:szCs w:val="22"/>
        <w:u w:val="single"/>
      </w:rPr>
    </w:pPr>
    <w:r>
      <w:rPr>
        <w:rFonts w:ascii="Arial" w:hAnsi="Arial" w:cs="Arial"/>
        <w:b/>
        <w:sz w:val="22"/>
        <w:szCs w:val="22"/>
        <w:u w:val="single"/>
      </w:rPr>
      <w:t>Minister/s title</w:t>
    </w:r>
  </w:p>
  <w:p w:rsidR="00CD7143" w:rsidRPr="00F10DF9" w:rsidRDefault="00CD7143" w:rsidP="00654438">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43" w:rsidRDefault="000A162D" w:rsidP="00654438">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131445</wp:posOffset>
          </wp:positionV>
          <wp:extent cx="1714500" cy="57150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pic:spPr>
              </pic:pic>
            </a:graphicData>
          </a:graphic>
          <wp14:sizeRelH relativeFrom="page">
            <wp14:pctWidth>0</wp14:pctWidth>
          </wp14:sizeRelH>
          <wp14:sizeRelV relativeFrom="page">
            <wp14:pctHeight>0</wp14:pctHeight>
          </wp14:sizeRelV>
        </wp:anchor>
      </w:drawing>
    </w:r>
  </w:p>
  <w:p w:rsidR="00CD7143" w:rsidRDefault="00CD7143" w:rsidP="00654438">
    <w:pPr>
      <w:pStyle w:val="Header"/>
      <w:ind w:firstLine="2880"/>
      <w:rPr>
        <w:rFonts w:ascii="Arial" w:hAnsi="Arial" w:cs="Arial"/>
        <w:b/>
        <w:sz w:val="22"/>
        <w:szCs w:val="22"/>
        <w:u w:val="single"/>
      </w:rPr>
    </w:pPr>
  </w:p>
  <w:p w:rsidR="00CD7143" w:rsidRDefault="00CD7143" w:rsidP="00654438">
    <w:pPr>
      <w:pStyle w:val="Header"/>
      <w:ind w:firstLine="2880"/>
      <w:rPr>
        <w:rFonts w:ascii="Arial" w:hAnsi="Arial" w:cs="Arial"/>
        <w:b/>
        <w:sz w:val="22"/>
        <w:szCs w:val="22"/>
        <w:u w:val="single"/>
      </w:rPr>
    </w:pPr>
  </w:p>
  <w:p w:rsidR="00CD7143" w:rsidRDefault="00CD7143" w:rsidP="00654438">
    <w:pPr>
      <w:pStyle w:val="Header"/>
      <w:ind w:firstLine="2880"/>
      <w:rPr>
        <w:rFonts w:ascii="Arial" w:hAnsi="Arial" w:cs="Arial"/>
        <w:b/>
        <w:sz w:val="22"/>
        <w:szCs w:val="22"/>
        <w:u w:val="single"/>
      </w:rPr>
    </w:pPr>
  </w:p>
  <w:p w:rsidR="00CD7143" w:rsidRPr="000400F9" w:rsidRDefault="00CD7143" w:rsidP="00CD7143">
    <w:pPr>
      <w:pStyle w:val="Header"/>
      <w:ind w:firstLine="2880"/>
      <w:rPr>
        <w:rFonts w:ascii="Arial" w:hAnsi="Arial" w:cs="Arial"/>
        <w:b/>
        <w:sz w:val="22"/>
        <w:szCs w:val="22"/>
        <w:u w:val="single"/>
      </w:rPr>
    </w:pPr>
    <w:r w:rsidRPr="000400F9">
      <w:rPr>
        <w:rFonts w:ascii="Arial" w:hAnsi="Arial" w:cs="Arial"/>
        <w:b/>
        <w:sz w:val="22"/>
        <w:szCs w:val="22"/>
        <w:u w:val="single"/>
      </w:rPr>
      <w:t xml:space="preserve">Cabinet – </w:t>
    </w:r>
    <w:r w:rsidR="00395AC8">
      <w:rPr>
        <w:rFonts w:ascii="Arial" w:hAnsi="Arial" w:cs="Arial"/>
        <w:b/>
        <w:sz w:val="22"/>
        <w:szCs w:val="22"/>
        <w:u w:val="single"/>
      </w:rPr>
      <w:t>June</w:t>
    </w:r>
    <w:r w:rsidR="00912685">
      <w:rPr>
        <w:rFonts w:ascii="Arial" w:hAnsi="Arial" w:cs="Arial"/>
        <w:b/>
        <w:sz w:val="22"/>
        <w:szCs w:val="22"/>
        <w:u w:val="single"/>
      </w:rPr>
      <w:t xml:space="preserve"> 2009</w:t>
    </w:r>
  </w:p>
  <w:p w:rsidR="00CD7143" w:rsidRDefault="00CD7143" w:rsidP="00654438">
    <w:pPr>
      <w:pStyle w:val="Header"/>
      <w:spacing w:before="120"/>
      <w:rPr>
        <w:rFonts w:ascii="Arial" w:hAnsi="Arial" w:cs="Arial"/>
        <w:b/>
        <w:sz w:val="22"/>
        <w:szCs w:val="22"/>
        <w:u w:val="single"/>
      </w:rPr>
    </w:pPr>
    <w:r>
      <w:rPr>
        <w:rFonts w:ascii="Arial" w:hAnsi="Arial" w:cs="Arial"/>
        <w:b/>
        <w:sz w:val="22"/>
        <w:szCs w:val="22"/>
        <w:u w:val="single"/>
      </w:rPr>
      <w:t xml:space="preserve">Review of Neighbourly Relations </w:t>
    </w:r>
  </w:p>
  <w:p w:rsidR="00CD7143" w:rsidRDefault="00CD7143" w:rsidP="00654438">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CD7143" w:rsidRPr="00F10DF9" w:rsidRDefault="00CD7143" w:rsidP="00654438">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041F"/>
    <w:multiLevelType w:val="multilevel"/>
    <w:tmpl w:val="64B019F2"/>
    <w:numStyleLink w:val="cabinet"/>
  </w:abstractNum>
  <w:abstractNum w:abstractNumId="1" w15:restartNumberingAfterBreak="0">
    <w:nsid w:val="16F72E34"/>
    <w:multiLevelType w:val="multilevel"/>
    <w:tmpl w:val="64B019F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835"/>
        </w:tabs>
        <w:ind w:left="2835" w:hanging="907"/>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C0029B80"/>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173CA7CE">
      <w:start w:val="1"/>
      <w:numFmt w:val="lowerLetter"/>
      <w:lvlText w:val="(%3)"/>
      <w:lvlJc w:val="left"/>
      <w:pPr>
        <w:tabs>
          <w:tab w:val="num" w:pos="2062"/>
        </w:tabs>
        <w:ind w:left="2062" w:hanging="360"/>
      </w:pPr>
      <w:rPr>
        <w:rFonts w:hint="default"/>
        <w:u w:val="single"/>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lvlOverride w:ilvl="0">
      <w:lvl w:ilvl="0">
        <w:start w:val="1"/>
        <w:numFmt w:val="decimal"/>
        <w:pStyle w:val="StyleJustified"/>
        <w:lvlText w:val="%1."/>
        <w:lvlJc w:val="left"/>
        <w:pPr>
          <w:tabs>
            <w:tab w:val="num" w:pos="682"/>
          </w:tabs>
          <w:ind w:left="682" w:firstLine="28"/>
        </w:pPr>
        <w:rPr>
          <w:rFonts w:hint="default"/>
          <w:spacing w:val="20"/>
          <w:position w:val="0"/>
        </w:rPr>
      </w:lvl>
    </w:lvlOverride>
    <w:lvlOverride w:ilvl="1">
      <w:lvl w:ilvl="1">
        <w:start w:val="1"/>
        <w:numFmt w:val="lowerLetter"/>
        <w:pStyle w:val="Cabinet2text"/>
        <w:lvlText w:val="(%2&lt;"/>
        <w:lvlJc w:val="left"/>
        <w:pPr>
          <w:tabs>
            <w:tab w:val="num" w:pos="1021"/>
          </w:tabs>
          <w:ind w:left="1021" w:firstLine="28"/>
        </w:pPr>
        <w:rPr>
          <w:rFonts w:hint="default"/>
        </w:rPr>
      </w:lvl>
    </w:lvlOverride>
    <w:lvlOverride w:ilvl="2">
      <w:lvl w:ilvl="2">
        <w:start w:val="1"/>
        <w:numFmt w:val="lowerRoman"/>
        <w:pStyle w:val="Cabinet3text"/>
        <w:lvlText w:val="(%3)"/>
        <w:lvlJc w:val="left"/>
        <w:pPr>
          <w:tabs>
            <w:tab w:val="num" w:pos="1474"/>
          </w:tabs>
          <w:ind w:left="1474" w:firstLine="28"/>
        </w:pPr>
        <w:rPr>
          <w:rFonts w:ascii="Times New Roman" w:eastAsia="Times New Roman" w:hAnsi="Times New Roman" w:cs="Times New Roman"/>
        </w:rPr>
      </w:lvl>
    </w:lvlOverride>
    <w:lvlOverride w:ilvl="3">
      <w:lvl w:ilvl="3">
        <w:start w:val="1"/>
        <w:numFmt w:val="bullet"/>
        <w:pStyle w:val="Cabinet4text"/>
        <w:lvlText w:val="@"/>
        <w:lvlJc w:val="left"/>
        <w:pPr>
          <w:tabs>
            <w:tab w:val="num" w:pos="1928"/>
          </w:tabs>
          <w:ind w:left="1928" w:firstLine="28"/>
        </w:pPr>
        <w:rPr>
          <w:rFonts w:ascii="Symbol" w:hAnsi="Symbol" w:hint="default"/>
        </w:rPr>
      </w:lvl>
    </w:lvlOverride>
    <w:lvlOverride w:ilvl="4">
      <w:lvl w:ilvl="4">
        <w:start w:val="1"/>
        <w:numFmt w:val="bullet"/>
        <w:pStyle w:val="cabinet5text"/>
        <w:lvlText w:val="D"/>
        <w:lvlJc w:val="left"/>
        <w:pPr>
          <w:tabs>
            <w:tab w:val="num" w:pos="2381"/>
          </w:tabs>
          <w:ind w:left="2381" w:firstLine="28"/>
        </w:pPr>
        <w:rPr>
          <w:rFonts w:ascii="Times New Roman" w:hAnsi="Times New Roman" w:cs="Times New Roman" w:hint="default"/>
        </w:rPr>
      </w:lvl>
    </w:lvlOverride>
    <w:lvlOverride w:ilvl="5">
      <w:lvl w:ilvl="5">
        <w:start w:val="1"/>
        <w:numFmt w:val="bullet"/>
        <w:lvlText w:val="ᬜ౟Āᘀ౟㧀ǈឰ౟ᢀ౟ᨶ౟"/>
        <w:lvlJc w:val="left"/>
      </w:lvl>
    </w:lvlOverride>
    <w:lvlOverride w:ilvl="6">
      <w:lvl w:ilvl="6">
        <w:start w:val="1"/>
        <w:numFmt w:val="bullet"/>
        <w:lvlText w:val="D"/>
        <w:lvlJc w:val="left"/>
        <w:pPr>
          <w:tabs>
            <w:tab w:val="num" w:pos="2381"/>
          </w:tabs>
          <w:ind w:left="2381" w:firstLine="28"/>
        </w:pPr>
        <w:rPr>
          <w:rFonts w:ascii="Times New Roman"/>
        </w:rPr>
      </w:lvl>
    </w:lvlOverride>
    <w:lvlOverride w:ilvl="7">
      <w:lvl w:ilvl="7">
        <w:start w:val="1"/>
        <w:numFmt w:val="bullet"/>
        <w:lvlText w:val="D"/>
        <w:lvlJc w:val="left"/>
        <w:pPr>
          <w:tabs>
            <w:tab w:val="num" w:pos="2835"/>
          </w:tabs>
          <w:ind w:left="2835" w:firstLine="28"/>
        </w:pPr>
        <w:rPr>
          <w:rFonts w:ascii="Times New Roman"/>
        </w:rPr>
      </w:lvl>
    </w:lvlOverride>
    <w:lvlOverride w:ilvl="8">
      <w:lvl w:ilvl="8">
        <w:start w:val="1"/>
        <w:numFmt w:val="bullet"/>
        <w:lvlText w:val=""/>
        <w:lvlJc w:val="left"/>
        <w:pPr>
          <w:tabs>
            <w:tab w:val="num" w:pos="2381"/>
          </w:tabs>
          <w:ind w:left="2381" w:firstLine="28"/>
        </w:pPr>
        <w:rPr>
          <w:rFonts w:ascii="Times New Roman"/>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38"/>
    <w:rsid w:val="000003C1"/>
    <w:rsid w:val="0009482B"/>
    <w:rsid w:val="000A162D"/>
    <w:rsid w:val="000F36A0"/>
    <w:rsid w:val="001662A9"/>
    <w:rsid w:val="001D4102"/>
    <w:rsid w:val="00271224"/>
    <w:rsid w:val="002E1B5E"/>
    <w:rsid w:val="00395AC8"/>
    <w:rsid w:val="0040039E"/>
    <w:rsid w:val="005562A5"/>
    <w:rsid w:val="00654438"/>
    <w:rsid w:val="006F051F"/>
    <w:rsid w:val="00725740"/>
    <w:rsid w:val="007E4F3E"/>
    <w:rsid w:val="00811124"/>
    <w:rsid w:val="008F5F11"/>
    <w:rsid w:val="00912685"/>
    <w:rsid w:val="00914521"/>
    <w:rsid w:val="00955CA1"/>
    <w:rsid w:val="009801EF"/>
    <w:rsid w:val="009851D4"/>
    <w:rsid w:val="009A606B"/>
    <w:rsid w:val="009F4F04"/>
    <w:rsid w:val="00A367DB"/>
    <w:rsid w:val="00A83E82"/>
    <w:rsid w:val="00CD7143"/>
    <w:rsid w:val="00DB7AFF"/>
    <w:rsid w:val="00EA7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38"/>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4438"/>
    <w:pPr>
      <w:tabs>
        <w:tab w:val="center" w:pos="4153"/>
        <w:tab w:val="right" w:pos="8306"/>
      </w:tabs>
    </w:pPr>
    <w:rPr>
      <w:color w:val="auto"/>
    </w:rPr>
  </w:style>
  <w:style w:type="paragraph" w:styleId="Footer">
    <w:name w:val="footer"/>
    <w:basedOn w:val="Normal"/>
    <w:rsid w:val="00654438"/>
    <w:pPr>
      <w:tabs>
        <w:tab w:val="center" w:pos="4153"/>
        <w:tab w:val="right" w:pos="8306"/>
      </w:tabs>
    </w:pPr>
  </w:style>
  <w:style w:type="paragraph" w:customStyle="1" w:styleId="Cabinet2text">
    <w:name w:val="Cabinet 2 text"/>
    <w:basedOn w:val="Normal"/>
    <w:rsid w:val="00654438"/>
    <w:pPr>
      <w:numPr>
        <w:ilvl w:val="1"/>
        <w:numId w:val="4"/>
      </w:numPr>
      <w:spacing w:before="120"/>
      <w:jc w:val="both"/>
    </w:pPr>
    <w:rPr>
      <w:color w:val="auto"/>
    </w:rPr>
  </w:style>
  <w:style w:type="paragraph" w:customStyle="1" w:styleId="Cabinet3text">
    <w:name w:val="Cabinet 3 text"/>
    <w:basedOn w:val="Cabinet2text"/>
    <w:rsid w:val="00654438"/>
    <w:pPr>
      <w:numPr>
        <w:ilvl w:val="2"/>
      </w:numPr>
    </w:pPr>
  </w:style>
  <w:style w:type="paragraph" w:customStyle="1" w:styleId="Cabinet4text">
    <w:name w:val="Cabinet 4 text"/>
    <w:basedOn w:val="Cabinet2text"/>
    <w:rsid w:val="00654438"/>
    <w:pPr>
      <w:numPr>
        <w:ilvl w:val="3"/>
      </w:numPr>
    </w:pPr>
  </w:style>
  <w:style w:type="numbering" w:customStyle="1" w:styleId="cabinet">
    <w:name w:val="cabinet"/>
    <w:rsid w:val="00654438"/>
    <w:pPr>
      <w:numPr>
        <w:numId w:val="5"/>
      </w:numPr>
    </w:pPr>
  </w:style>
  <w:style w:type="paragraph" w:customStyle="1" w:styleId="StyleJustified">
    <w:name w:val="Style Justified"/>
    <w:basedOn w:val="Normal"/>
    <w:rsid w:val="00654438"/>
    <w:pPr>
      <w:numPr>
        <w:numId w:val="4"/>
      </w:numPr>
      <w:spacing w:before="240"/>
      <w:jc w:val="both"/>
    </w:pPr>
    <w:rPr>
      <w:color w:val="auto"/>
    </w:rPr>
  </w:style>
  <w:style w:type="paragraph" w:customStyle="1" w:styleId="cabinet5text">
    <w:name w:val="cabinet 5 text"/>
    <w:basedOn w:val="Cabinet2text"/>
    <w:rsid w:val="00654438"/>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945</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1114</CharactersWithSpaces>
  <SharedDoc>false</SharedDoc>
  <HyperlinkBase>https://www.cabinet.qld.gov.au/documents/2009/Jun/Neighbourly Relations/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Neighbourly_Relations</cp:keywords>
  <dc:description/>
  <cp:lastModifiedBy/>
  <cp:revision>2</cp:revision>
  <cp:lastPrinted>2009-05-22T03:28:00Z</cp:lastPrinted>
  <dcterms:created xsi:type="dcterms:W3CDTF">2017-10-24T22:01:00Z</dcterms:created>
  <dcterms:modified xsi:type="dcterms:W3CDTF">2018-03-06T00:57:00Z</dcterms:modified>
  <cp:category>Neighbourly_Relations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-15062032</vt:i4>
  </property>
  <property fmtid="{D5CDD505-2E9C-101B-9397-08002B2CF9AE}" pid="3" name="_NewReviewCycle">
    <vt:lpwstr/>
  </property>
  <property fmtid="{D5CDD505-2E9C-101B-9397-08002B2CF9AE}" pid="4" name="_PreviousAdHocReviewCycleID">
    <vt:i4>-1356805712</vt:i4>
  </property>
  <property fmtid="{D5CDD505-2E9C-101B-9397-08002B2CF9AE}" pid="5" name="_ReviewingToolsShownOnce">
    <vt:lpwstr/>
  </property>
</Properties>
</file>